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B4C6" w14:textId="301F1874" w:rsidR="001410C8" w:rsidRPr="000418DF" w:rsidRDefault="00E902A7" w:rsidP="00D31F90">
      <w:pPr>
        <w:spacing w:before="62"/>
        <w:ind w:left="785" w:right="801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0418D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                 </w:t>
      </w:r>
      <w:r w:rsidR="00F71E00" w:rsidRPr="000418DF">
        <w:rPr>
          <w:rFonts w:asciiTheme="minorHAnsi" w:hAnsiTheme="minorHAnsi" w:cstheme="minorHAnsi"/>
          <w:noProof/>
        </w:rPr>
        <w:drawing>
          <wp:inline distT="0" distB="0" distL="0" distR="0" wp14:anchorId="308EC9CE" wp14:editId="7B75B451">
            <wp:extent cx="2279468" cy="122069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285" cy="124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DFA" w:rsidRPr="000418DF"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  <w:drawing>
          <wp:inline distT="0" distB="0" distL="0" distR="0" wp14:anchorId="33F9F495" wp14:editId="16EE9921">
            <wp:extent cx="2027582" cy="988572"/>
            <wp:effectExtent l="0" t="0" r="4445" b="254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12" cy="100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E87F" w14:textId="77777777" w:rsidR="001410C8" w:rsidRPr="000418DF" w:rsidRDefault="001410C8" w:rsidP="0009181E">
      <w:pPr>
        <w:spacing w:before="62"/>
        <w:ind w:left="785" w:right="801"/>
        <w:jc w:val="center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14:paraId="38021E70" w14:textId="672206A0" w:rsidR="001410C8" w:rsidRPr="000418DF" w:rsidRDefault="00E902A7" w:rsidP="0009181E">
      <w:pPr>
        <w:spacing w:before="62"/>
        <w:ind w:left="785" w:right="801"/>
        <w:jc w:val="center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000000"/>
          <w:spacing w:val="-1"/>
          <w:sz w:val="21"/>
          <w:szCs w:val="21"/>
        </w:rPr>
        <w:t>For</w:t>
      </w:r>
      <w:r w:rsidRPr="000418DF">
        <w:rPr>
          <w:rFonts w:asciiTheme="minorHAnsi" w:hAnsiTheme="minorHAnsi" w:cstheme="minorHAnsi"/>
          <w:color w:val="000000"/>
          <w:spacing w:val="-10"/>
          <w:sz w:val="21"/>
          <w:szCs w:val="21"/>
        </w:rPr>
        <w:t> </w:t>
      </w:r>
      <w:r w:rsidRPr="000418DF">
        <w:rPr>
          <w:rFonts w:asciiTheme="minorHAnsi" w:hAnsiTheme="minorHAnsi" w:cstheme="minorHAnsi"/>
          <w:color w:val="000000"/>
          <w:spacing w:val="-1"/>
          <w:sz w:val="21"/>
          <w:szCs w:val="21"/>
        </w:rPr>
        <w:t>Immediate</w:t>
      </w:r>
      <w:r w:rsidRPr="000418DF">
        <w:rPr>
          <w:rFonts w:asciiTheme="minorHAnsi" w:hAnsiTheme="minorHAnsi" w:cstheme="minorHAnsi"/>
          <w:color w:val="000000"/>
          <w:spacing w:val="-6"/>
          <w:sz w:val="21"/>
          <w:szCs w:val="21"/>
        </w:rPr>
        <w:t> </w:t>
      </w:r>
      <w:r w:rsidRPr="000418DF">
        <w:rPr>
          <w:rFonts w:asciiTheme="minorHAnsi" w:hAnsiTheme="minorHAnsi" w:cstheme="minorHAnsi"/>
          <w:color w:val="000000"/>
          <w:sz w:val="21"/>
          <w:szCs w:val="21"/>
        </w:rPr>
        <w:t>Release</w:t>
      </w:r>
      <w:r w:rsidRPr="000418DF">
        <w:rPr>
          <w:rFonts w:asciiTheme="minorHAnsi" w:hAnsiTheme="minorHAnsi" w:cstheme="minorHAnsi"/>
          <w:color w:val="000000"/>
          <w:spacing w:val="-2"/>
          <w:sz w:val="21"/>
          <w:szCs w:val="21"/>
        </w:rPr>
        <w:t> </w:t>
      </w:r>
      <w:r w:rsidRPr="000418DF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0418DF">
        <w:rPr>
          <w:rFonts w:asciiTheme="minorHAnsi" w:hAnsiTheme="minorHAnsi" w:cstheme="minorHAnsi"/>
          <w:color w:val="000000"/>
          <w:spacing w:val="-7"/>
          <w:sz w:val="21"/>
          <w:szCs w:val="21"/>
        </w:rPr>
        <w:t> </w:t>
      </w:r>
      <w:r w:rsidR="00D24DB8">
        <w:rPr>
          <w:rFonts w:asciiTheme="minorHAnsi" w:hAnsiTheme="minorHAnsi" w:cstheme="minorHAnsi"/>
          <w:color w:val="000000"/>
          <w:spacing w:val="-1"/>
          <w:sz w:val="21"/>
          <w:szCs w:val="21"/>
        </w:rPr>
        <w:t>January 9</w:t>
      </w:r>
      <w:r w:rsidR="000418DF">
        <w:rPr>
          <w:rFonts w:asciiTheme="minorHAnsi" w:hAnsiTheme="minorHAnsi" w:cstheme="minorHAnsi"/>
          <w:color w:val="000000"/>
          <w:spacing w:val="-1"/>
          <w:sz w:val="21"/>
          <w:szCs w:val="21"/>
        </w:rPr>
        <w:t>, 202</w:t>
      </w:r>
      <w:r w:rsidR="00D24DB8">
        <w:rPr>
          <w:rFonts w:asciiTheme="minorHAnsi" w:hAnsiTheme="minorHAnsi" w:cstheme="minorHAnsi"/>
          <w:color w:val="000000"/>
          <w:spacing w:val="-1"/>
          <w:sz w:val="21"/>
          <w:szCs w:val="21"/>
        </w:rPr>
        <w:t>4</w:t>
      </w:r>
    </w:p>
    <w:p w14:paraId="44568169" w14:textId="77777777" w:rsidR="001410C8" w:rsidRPr="000418DF" w:rsidRDefault="00E902A7" w:rsidP="0009181E">
      <w:pPr>
        <w:spacing w:before="62"/>
        <w:jc w:val="center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000000"/>
          <w:sz w:val="21"/>
          <w:szCs w:val="21"/>
        </w:rPr>
        <w:t>Contact: Anna Hubbard @ </w:t>
      </w:r>
      <w:r w:rsidRPr="000418DF">
        <w:rPr>
          <w:rFonts w:asciiTheme="minorHAnsi" w:hAnsiTheme="minorHAnsi" w:cstheme="minorHAnsi"/>
          <w:color w:val="954F72"/>
          <w:sz w:val="21"/>
          <w:szCs w:val="21"/>
          <w:u w:val="single"/>
        </w:rPr>
        <w:t>ahubbard@arkbar.com</w:t>
      </w:r>
      <w:r w:rsidRPr="000418DF">
        <w:rPr>
          <w:rFonts w:asciiTheme="minorHAnsi" w:hAnsiTheme="minorHAnsi" w:cstheme="minorHAnsi"/>
          <w:color w:val="000000"/>
          <w:sz w:val="21"/>
          <w:szCs w:val="21"/>
        </w:rPr>
        <w:t> or 501-801-5680</w:t>
      </w:r>
    </w:p>
    <w:p w14:paraId="45AF6100" w14:textId="77777777" w:rsidR="001410C8" w:rsidRPr="000418DF" w:rsidRDefault="00E902A7" w:rsidP="0009181E">
      <w:pPr>
        <w:spacing w:before="62"/>
        <w:jc w:val="center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74291E41" w14:textId="77777777" w:rsidR="001410C8" w:rsidRPr="000418DF" w:rsidRDefault="00E902A7" w:rsidP="0009181E">
      <w:pPr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b/>
          <w:bCs/>
          <w:color w:val="000000"/>
          <w:sz w:val="21"/>
          <w:szCs w:val="21"/>
        </w:rPr>
        <w:t>Arkansas Bar Association and Clinton School of Public Service</w:t>
      </w:r>
    </w:p>
    <w:p w14:paraId="687A9AF9" w14:textId="199C289B" w:rsidR="001410C8" w:rsidRPr="000418DF" w:rsidRDefault="00E902A7" w:rsidP="0009181E">
      <w:pPr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Announce </w:t>
      </w:r>
      <w:r w:rsidR="00D24DB8">
        <w:rPr>
          <w:rFonts w:asciiTheme="minorHAnsi" w:hAnsiTheme="minorHAnsi" w:cstheme="minorHAnsi"/>
          <w:b/>
          <w:bCs/>
          <w:color w:val="000000"/>
          <w:sz w:val="21"/>
          <w:szCs w:val="21"/>
        </w:rPr>
        <w:t>Third</w:t>
      </w:r>
      <w:r w:rsidR="00D43533" w:rsidRPr="000418DF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4B7FC7" w:rsidRPr="000418DF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Class of the </w:t>
      </w:r>
      <w:r w:rsidRPr="000418DF">
        <w:rPr>
          <w:rFonts w:asciiTheme="minorHAnsi" w:hAnsiTheme="minorHAnsi" w:cstheme="minorHAnsi"/>
          <w:b/>
          <w:bCs/>
          <w:color w:val="000000"/>
          <w:sz w:val="21"/>
          <w:szCs w:val="21"/>
        </w:rPr>
        <w:t>Public Service Academy</w:t>
      </w:r>
      <w:r w:rsidR="00D43533" w:rsidRPr="000418DF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</w:p>
    <w:p w14:paraId="429829EF" w14:textId="77777777" w:rsidR="001410C8" w:rsidRPr="000418DF" w:rsidRDefault="00E902A7" w:rsidP="0009181E">
      <w:pPr>
        <w:spacing w:line="252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158750A5" w14:textId="3F375B48" w:rsidR="00E61698" w:rsidRPr="000418DF" w:rsidRDefault="00E61698" w:rsidP="008A62C2">
      <w:pPr>
        <w:spacing w:line="252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Arkansas Bar Association and the University of Arkansas Clinton School of Public Service, in association with </w:t>
      </w:r>
      <w:r w:rsidR="00E913EE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</w:t>
      </w:r>
      <w:r w:rsidR="006861CC"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University of Arkansas</w:t>
      </w:r>
      <w:r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Little Rock Bowen School of Law and the University of Arkansas School of Law, are proud to announce the </w:t>
      </w:r>
      <w:r w:rsidR="00345901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third</w:t>
      </w:r>
      <w:r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class </w:t>
      </w:r>
      <w:r w:rsidR="004B7FC7"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of the </w:t>
      </w:r>
      <w:r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Public Service Academy.</w:t>
      </w:r>
      <w:r w:rsidR="00794821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For more information visit </w:t>
      </w:r>
      <w:hyperlink r:id="rId7" w:history="1">
        <w:r w:rsidR="00794821" w:rsidRPr="00794821">
          <w:rPr>
            <w:rStyle w:val="Hyperlink"/>
            <w:rFonts w:asciiTheme="minorHAnsi" w:hAnsiTheme="minorHAnsi" w:cstheme="minorHAnsi"/>
            <w:sz w:val="21"/>
            <w:szCs w:val="21"/>
            <w:shd w:val="clear" w:color="auto" w:fill="FFFFFF"/>
          </w:rPr>
          <w:t>https://www.arkbar.com/cle--events/public-service-academy</w:t>
        </w:r>
      </w:hyperlink>
      <w:r w:rsidR="00794821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.</w:t>
      </w:r>
    </w:p>
    <w:p w14:paraId="04DD9047" w14:textId="77777777" w:rsidR="00E61698" w:rsidRPr="000418DF" w:rsidRDefault="00E61698" w:rsidP="008A62C2">
      <w:pPr>
        <w:spacing w:line="252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14:paraId="34262DFD" w14:textId="5A3D26B9" w:rsidR="001410C8" w:rsidRPr="000418DF" w:rsidRDefault="00E902A7" w:rsidP="0009181E">
      <w:pPr>
        <w:spacing w:line="252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000000"/>
          <w:sz w:val="21"/>
          <w:szCs w:val="21"/>
        </w:rPr>
        <w:t xml:space="preserve">The Public Service Academy </w:t>
      </w:r>
      <w:r w:rsidR="00BF4227" w:rsidRPr="000418DF">
        <w:rPr>
          <w:rFonts w:asciiTheme="minorHAnsi" w:hAnsiTheme="minorHAnsi" w:cstheme="minorHAnsi"/>
          <w:color w:val="000000"/>
          <w:sz w:val="21"/>
          <w:szCs w:val="21"/>
        </w:rPr>
        <w:t>was</w:t>
      </w:r>
      <w:r w:rsidRPr="000418DF">
        <w:rPr>
          <w:rFonts w:asciiTheme="minorHAnsi" w:hAnsiTheme="minorHAnsi" w:cstheme="minorHAnsi"/>
          <w:color w:val="000000"/>
          <w:sz w:val="21"/>
          <w:szCs w:val="21"/>
        </w:rPr>
        <w:t xml:space="preserve"> established to provide service</w:t>
      </w:r>
      <w:r w:rsidR="006C5C2D">
        <w:rPr>
          <w:rFonts w:asciiTheme="minorHAnsi" w:hAnsiTheme="minorHAnsi" w:cstheme="minorHAnsi"/>
          <w:color w:val="000000"/>
          <w:sz w:val="21"/>
          <w:szCs w:val="21"/>
        </w:rPr>
        <w:t>-</w:t>
      </w:r>
      <w:r w:rsidRPr="000418DF">
        <w:rPr>
          <w:rFonts w:asciiTheme="minorHAnsi" w:hAnsiTheme="minorHAnsi" w:cstheme="minorHAnsi"/>
          <w:color w:val="000000"/>
          <w:sz w:val="21"/>
          <w:szCs w:val="21"/>
        </w:rPr>
        <w:t xml:space="preserve">minded lawyers </w:t>
      </w:r>
      <w:r w:rsidR="004B7FC7" w:rsidRPr="000418DF">
        <w:rPr>
          <w:rFonts w:asciiTheme="minorHAnsi" w:hAnsiTheme="minorHAnsi" w:cstheme="minorHAnsi"/>
          <w:color w:val="000000"/>
          <w:sz w:val="21"/>
          <w:szCs w:val="21"/>
        </w:rPr>
        <w:t xml:space="preserve">and </w:t>
      </w:r>
      <w:r w:rsidR="006861CC">
        <w:rPr>
          <w:rFonts w:asciiTheme="minorHAnsi" w:hAnsiTheme="minorHAnsi" w:cstheme="minorHAnsi"/>
          <w:color w:val="000000"/>
          <w:sz w:val="21"/>
          <w:szCs w:val="21"/>
        </w:rPr>
        <w:t xml:space="preserve">law </w:t>
      </w:r>
      <w:r w:rsidR="004B7FC7" w:rsidRPr="000418DF">
        <w:rPr>
          <w:rFonts w:asciiTheme="minorHAnsi" w:hAnsiTheme="minorHAnsi" w:cstheme="minorHAnsi"/>
          <w:color w:val="000000"/>
          <w:sz w:val="21"/>
          <w:szCs w:val="21"/>
        </w:rPr>
        <w:t xml:space="preserve">students </w:t>
      </w:r>
      <w:r w:rsidRPr="000418DF">
        <w:rPr>
          <w:rFonts w:asciiTheme="minorHAnsi" w:hAnsiTheme="minorHAnsi" w:cstheme="minorHAnsi"/>
          <w:color w:val="000000"/>
          <w:sz w:val="21"/>
          <w:szCs w:val="21"/>
        </w:rPr>
        <w:t>the tools they need</w:t>
      </w:r>
      <w:r w:rsidR="00842792">
        <w:rPr>
          <w:rFonts w:asciiTheme="minorHAnsi" w:hAnsiTheme="minorHAnsi" w:cstheme="minorHAnsi"/>
          <w:color w:val="000000"/>
          <w:sz w:val="21"/>
          <w:szCs w:val="21"/>
        </w:rPr>
        <w:t>, both</w:t>
      </w:r>
      <w:r w:rsidRPr="000418DF">
        <w:rPr>
          <w:rFonts w:asciiTheme="minorHAnsi" w:hAnsiTheme="minorHAnsi" w:cstheme="minorHAnsi"/>
          <w:color w:val="000000"/>
          <w:sz w:val="21"/>
          <w:szCs w:val="21"/>
        </w:rPr>
        <w:t xml:space="preserve"> for service in elected office and as volunteers. </w:t>
      </w:r>
      <w:r w:rsidR="004B7FC7" w:rsidRPr="000418DF">
        <w:rPr>
          <w:rFonts w:asciiTheme="minorHAnsi" w:hAnsiTheme="minorHAnsi" w:cstheme="minorHAnsi"/>
          <w:color w:val="000000"/>
          <w:sz w:val="21"/>
          <w:szCs w:val="21"/>
        </w:rPr>
        <w:t>The following individuals will participate in two sessions: one in Little Rock (</w:t>
      </w:r>
      <w:r w:rsidR="00E913EE">
        <w:rPr>
          <w:rFonts w:asciiTheme="minorHAnsi" w:hAnsiTheme="minorHAnsi" w:cstheme="minorHAnsi"/>
          <w:color w:val="000000"/>
          <w:sz w:val="21"/>
          <w:szCs w:val="21"/>
        </w:rPr>
        <w:t>January 19-20, 2024</w:t>
      </w:r>
      <w:r w:rsidR="004B7FC7" w:rsidRPr="000418DF">
        <w:rPr>
          <w:rFonts w:asciiTheme="minorHAnsi" w:hAnsiTheme="minorHAnsi" w:cstheme="minorHAnsi"/>
          <w:color w:val="000000"/>
          <w:sz w:val="21"/>
          <w:szCs w:val="21"/>
        </w:rPr>
        <w:t>) and one in Fayetteville (</w:t>
      </w:r>
      <w:r w:rsidR="00E913EE">
        <w:rPr>
          <w:rFonts w:asciiTheme="minorHAnsi" w:hAnsiTheme="minorHAnsi" w:cstheme="minorHAnsi"/>
          <w:color w:val="000000"/>
          <w:sz w:val="21"/>
          <w:szCs w:val="21"/>
        </w:rPr>
        <w:t>March 8-9, 2024</w:t>
      </w:r>
      <w:r w:rsidR="004B7FC7" w:rsidRPr="000418DF">
        <w:rPr>
          <w:rFonts w:asciiTheme="minorHAnsi" w:hAnsiTheme="minorHAnsi" w:cstheme="minorHAnsi"/>
          <w:color w:val="000000"/>
          <w:sz w:val="21"/>
          <w:szCs w:val="21"/>
        </w:rPr>
        <w:t>):</w:t>
      </w:r>
    </w:p>
    <w:p w14:paraId="37BF1A0D" w14:textId="77777777" w:rsidR="001410C8" w:rsidRPr="000418DF" w:rsidRDefault="001410C8" w:rsidP="0009181E">
      <w:pPr>
        <w:spacing w:line="252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14:paraId="3FE8D36A" w14:textId="34F68FE9" w:rsidR="00D24DB8" w:rsidRPr="00B30747" w:rsidRDefault="00D24DB8" w:rsidP="00043716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3074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Zach Baumgarten, </w:t>
      </w:r>
      <w:r w:rsidR="00BD6E6C" w:rsidRPr="00B3074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Veterans Legal Services Clinic, UA Little Rock William H. Bowen School of Law</w:t>
      </w:r>
      <w:r w:rsidR="00B30747" w:rsidRPr="00B3074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BD6E6C" w:rsidRPr="00B3074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Little Rock</w:t>
      </w:r>
    </w:p>
    <w:p w14:paraId="620363DF" w14:textId="6DEEBE6C" w:rsidR="00D24DB8" w:rsidRPr="00BD6E6C" w:rsidRDefault="00D24DB8" w:rsidP="001F7050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Seth </w:t>
      </w: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Bickett</w:t>
      </w:r>
      <w:proofErr w:type="spellEnd"/>
      <w:r w:rsidR="00BD6E6C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6E6C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Bickett</w:t>
      </w:r>
      <w:proofErr w:type="spellEnd"/>
      <w:r w:rsidR="00BD6E6C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&amp; Trentham Law Partners, LLP, Bentonville</w:t>
      </w:r>
    </w:p>
    <w:p w14:paraId="371B3E19" w14:textId="48602F90" w:rsidR="00D24DB8" w:rsidRPr="00BD6E6C" w:rsidRDefault="00D24DB8" w:rsidP="004350FD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Jack Curtis</w:t>
      </w:r>
      <w:r w:rsidR="00BD6E6C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Student, University of Arkansas School of Law, Fayetteville</w:t>
      </w:r>
    </w:p>
    <w:p w14:paraId="2B2A27FD" w14:textId="317209DE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Sharnae</w:t>
      </w:r>
      <w:proofErr w:type="spellEnd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Diggs</w:t>
      </w:r>
      <w:r w:rsidR="00BD6E6C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Mitchell, Williams, Selig, Gates &amp; Woodyard, P.L.L.C., 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Little Rock</w:t>
      </w:r>
    </w:p>
    <w:p w14:paraId="0B4CE5C3" w14:textId="46CE5F3E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Hank Felton</w:t>
      </w:r>
      <w:r w:rsid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Legacy Law Group, Hot Springs</w:t>
      </w:r>
    </w:p>
    <w:p w14:paraId="20171CF1" w14:textId="4E219F6E" w:rsidR="00D24DB8" w:rsidRPr="00BD6E6C" w:rsidRDefault="00D24DB8" w:rsidP="00276A03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Mallory Floyd</w:t>
      </w:r>
      <w:r w:rsidR="00BD6E6C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The Association of Arkansas Counties,</w:t>
      </w:r>
      <w:r w:rsid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BD6E6C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Little Rock</w:t>
      </w:r>
    </w:p>
    <w:p w14:paraId="31BE1EBF" w14:textId="719BFFCF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Bobby Forrest</w:t>
      </w:r>
      <w:r w:rsid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Chosen Law Group, Little Rock</w:t>
      </w:r>
    </w:p>
    <w:p w14:paraId="65AE4D04" w14:textId="17B5FDA9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Richmond Giles</w:t>
      </w:r>
      <w:r w:rsidR="009E40CD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Arkansas Public Employees’ Retirement System, Little Rock</w:t>
      </w:r>
    </w:p>
    <w:p w14:paraId="6ACD852B" w14:textId="42C6F2BB" w:rsidR="00D24DB8" w:rsidRPr="007B7BE4" w:rsidRDefault="00D24DB8" w:rsidP="007B7BE4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9E40CD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Kimberly Glover</w:t>
      </w:r>
      <w:r w:rsidR="009E40CD" w:rsidRPr="009E40CD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Mitchell, Williams, Selig, Gates &amp; Woodyard, P.L.L.C., Little Rock</w:t>
      </w:r>
    </w:p>
    <w:p w14:paraId="697A9FFB" w14:textId="1CBE03D3" w:rsidR="00D24DB8" w:rsidRPr="007B7BE4" w:rsidRDefault="007B7BE4" w:rsidP="007B7BE4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Taylor</w:t>
      </w:r>
      <w:r w:rsidR="00D24DB8" w:rsidRP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24DB8" w:rsidRP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Handford</w:t>
      </w:r>
      <w:proofErr w:type="spellEnd"/>
      <w:r w:rsidRP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Student, UA Little Rock William H. Bowen School of Law, Little Rock</w:t>
      </w:r>
    </w:p>
    <w:p w14:paraId="2058469D" w14:textId="4180069C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Joanie Harp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Arkansas Supreme Court, Little Rock</w:t>
      </w:r>
    </w:p>
    <w:p w14:paraId="7599B41F" w14:textId="5E219B7F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Kate Hill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Miller, Butler, Schneider, </w:t>
      </w:r>
      <w:proofErr w:type="spellStart"/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Pawlik</w:t>
      </w:r>
      <w:proofErr w:type="spellEnd"/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&amp; Rozzell, PLLC, Rogers</w:t>
      </w:r>
    </w:p>
    <w:p w14:paraId="24A00738" w14:textId="0DDCD515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Andrew (Hal) Hoggard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7B7BE4" w:rsidRP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Student, UA Little Rock William H. Bowen School of Law, Little Rock</w:t>
      </w:r>
    </w:p>
    <w:p w14:paraId="2A41AFDC" w14:textId="631E6C3D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Kandi Hughes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Midcontinent Independent System Operator (MISO), Little Rock</w:t>
      </w:r>
    </w:p>
    <w:p w14:paraId="35044D76" w14:textId="56853C3F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Michelle </w:t>
      </w: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Jaskolski</w:t>
      </w:r>
      <w:proofErr w:type="spellEnd"/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Jaskolski</w:t>
      </w:r>
      <w:proofErr w:type="spellEnd"/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Law Firm, Fayetteville</w:t>
      </w:r>
    </w:p>
    <w:p w14:paraId="011C66BC" w14:textId="5A6CCE6F" w:rsidR="00D24DB8" w:rsidRPr="007B7BE4" w:rsidRDefault="00D24DB8" w:rsidP="007B7BE4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Caroline Kelley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</w:t>
      </w:r>
      <w:r w:rsidR="007B7BE4" w:rsidRP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7B7BE4" w:rsidRPr="009E40CD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Mitchell, Williams, Selig, Gates &amp; Woodyard, P.L.L.C., 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Rogers</w:t>
      </w:r>
    </w:p>
    <w:p w14:paraId="399DFCFC" w14:textId="3E42CE53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Frank LaPorte-Jenner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LaPorte-Jenner Law, PLLC, Little Rock</w:t>
      </w:r>
    </w:p>
    <w:p w14:paraId="7CFF1C59" w14:textId="5FAC2BB3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Jacobi Malone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Proctor &amp; Malone Law Firm, Little Rock</w:t>
      </w:r>
    </w:p>
    <w:p w14:paraId="61EF6E9A" w14:textId="75F41171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Miriam Martinez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Martinez Law Firm PLLC, Rogers</w:t>
      </w:r>
    </w:p>
    <w:p w14:paraId="3972F5EB" w14:textId="1C9FB3B4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Paula </w:t>
      </w: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Martucci</w:t>
      </w:r>
      <w:proofErr w:type="spellEnd"/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A772A0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Attorney at Law,</w:t>
      </w:r>
      <w:r w:rsidR="0084279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Bentonville</w:t>
      </w:r>
    </w:p>
    <w:p w14:paraId="0A510866" w14:textId="1B8639E6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Lindsay Mast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Student, </w:t>
      </w:r>
      <w:r w:rsidR="007B7BE4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University of Arkansas School of Law, Fayetteville</w:t>
      </w:r>
    </w:p>
    <w:p w14:paraId="61BBE43B" w14:textId="5EDFF2D8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Selby </w:t>
      </w: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McCollett</w:t>
      </w:r>
      <w:proofErr w:type="spellEnd"/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7B7BE4" w:rsidRP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Student, UA Little Rock William H. Bowen School of Law, Little Rock</w:t>
      </w:r>
    </w:p>
    <w:p w14:paraId="002F879A" w14:textId="3A4CBEB6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Samuel </w:t>
      </w: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McLelland</w:t>
      </w:r>
      <w:proofErr w:type="spellEnd"/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PPGMR Law, Little Rock</w:t>
      </w:r>
    </w:p>
    <w:p w14:paraId="3A71BC18" w14:textId="068AF2EA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lastRenderedPageBreak/>
        <w:t xml:space="preserve">Drake </w:t>
      </w: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Moudy</w:t>
      </w:r>
      <w:proofErr w:type="spellEnd"/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7B7BE4" w:rsidRP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Student, UA Little Rock William H. Bowen School of Law, Little Rock</w:t>
      </w:r>
    </w:p>
    <w:p w14:paraId="3849B173" w14:textId="25AAFF01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Courtney </w:t>
      </w: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Nosari</w:t>
      </w:r>
      <w:proofErr w:type="spellEnd"/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-</w:t>
      </w: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Wal</w:t>
      </w:r>
      <w:r w:rsidR="007B7BE4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l, </w:t>
      </w:r>
      <w:r w:rsidR="007B7BE4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Deputy General Counsel, Arkansas Department of Corrections, Little Rock</w:t>
      </w:r>
    </w:p>
    <w:p w14:paraId="7E294AA3" w14:textId="73802130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Emma Parr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Student, </w:t>
      </w:r>
      <w:r w:rsidR="00C27055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University of Arkansas School of Law, Fayetteville</w:t>
      </w:r>
    </w:p>
    <w:p w14:paraId="11214275" w14:textId="6E4B2D73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Victor Pulido-Rojas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Student, </w:t>
      </w:r>
      <w:r w:rsidR="00C27055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University of Arkansas School of Law, Fayetteville</w:t>
      </w:r>
    </w:p>
    <w:p w14:paraId="43FF4411" w14:textId="5BE92499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Jessica Ratcliffe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C27055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Saline County Public Defender Office, Hot Springs</w:t>
      </w:r>
    </w:p>
    <w:p w14:paraId="32E3178B" w14:textId="37B15577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Addison Tucker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Student, </w:t>
      </w:r>
      <w:r w:rsidR="00C27055"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University of Arkansas School of Law, Fayetteville</w:t>
      </w:r>
    </w:p>
    <w:p w14:paraId="4D0B0164" w14:textId="25652A5C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Tiffany Tucker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C27055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Farrar &amp; Williams, PLLC, Hot Springs</w:t>
      </w:r>
    </w:p>
    <w:p w14:paraId="3A4147A0" w14:textId="573CCEDD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Lindsey </w:t>
      </w: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Vechik</w:t>
      </w:r>
      <w:proofErr w:type="spellEnd"/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Tyson, Rogers</w:t>
      </w:r>
    </w:p>
    <w:p w14:paraId="756586FC" w14:textId="36A876CE" w:rsidR="00D24DB8" w:rsidRPr="00BD6E6C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Peyton Watts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C27055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Kutak Rock LLP, Fayetteville</w:t>
      </w:r>
    </w:p>
    <w:p w14:paraId="2DD2B985" w14:textId="107E7429" w:rsidR="004B7FC7" w:rsidRDefault="00D24DB8" w:rsidP="00BD6E6C">
      <w:pPr>
        <w:pStyle w:val="ListParagraph"/>
        <w:numPr>
          <w:ilvl w:val="0"/>
          <w:numId w:val="1"/>
        </w:num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Amie </w:t>
      </w:r>
      <w:proofErr w:type="spellStart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Schoeppel</w:t>
      </w:r>
      <w:proofErr w:type="spellEnd"/>
      <w:r w:rsidRPr="00BD6E6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Wilcox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, </w:t>
      </w:r>
      <w:r w:rsidR="00C27055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Friday, Eldredge &amp; Clark, LLP, Little Rock</w:t>
      </w:r>
    </w:p>
    <w:p w14:paraId="48CE9FD6" w14:textId="77777777" w:rsidR="00BD6E6C" w:rsidRDefault="00BD6E6C" w:rsidP="00BD6E6C">
      <w:pPr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</w:p>
    <w:p w14:paraId="179765B2" w14:textId="5DB35A35" w:rsidR="00C27055" w:rsidRDefault="00E61698" w:rsidP="00C27055">
      <w:pPr>
        <w:tabs>
          <w:tab w:val="num" w:pos="720"/>
        </w:tabs>
        <w:spacing w:line="252" w:lineRule="atLeast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  <w:r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Public Service Academy is chaired by 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Skye Martin and </w:t>
      </w:r>
      <w:r w:rsidR="00C27055"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Madhav Shroff</w:t>
      </w:r>
      <w:r w:rsidR="006C5C2D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</w:t>
      </w:r>
      <w:r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with assistance from vice-chairs 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Caitlin Campbell</w:t>
      </w:r>
      <w:r w:rsidRPr="000418D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and 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Trent </w:t>
      </w:r>
      <w:proofErr w:type="spellStart"/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Minner</w:t>
      </w:r>
      <w:proofErr w:type="spellEnd"/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. The Steering Committee consists of: </w:t>
      </w:r>
      <w:r w:rsidR="00C27055" w:rsidRP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Former Chief Justice Howard Brill, Vincent Foster, Professor of Legal Ethics &amp; Professional Responsibility at the U of </w:t>
      </w:r>
      <w:proofErr w:type="gramStart"/>
      <w:r w:rsidR="00C27055" w:rsidRP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A</w:t>
      </w:r>
      <w:proofErr w:type="gramEnd"/>
      <w:r w:rsidR="00C27055" w:rsidRP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School of Law</w:t>
      </w:r>
      <w:r w:rsidR="0084279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;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C27055" w:rsidRP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Circuit Judge Earnest Brown</w:t>
      </w:r>
      <w:r w:rsidR="0084279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;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C27055" w:rsidRP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House Speaker Matthew Shepherd</w:t>
      </w:r>
      <w:r w:rsidR="0084279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;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C27055" w:rsidRP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Nate Looney</w:t>
      </w:r>
      <w:r w:rsidR="00842792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;</w:t>
      </w:r>
      <w:r w:rsidR="00C27055" w:rsidRP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and Michael Goswami</w:t>
      </w:r>
      <w:r w:rsidR="00C2705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. </w:t>
      </w:r>
    </w:p>
    <w:p w14:paraId="491B0D73" w14:textId="77777777" w:rsidR="001410C8" w:rsidRPr="000418DF" w:rsidRDefault="001410C8" w:rsidP="0009181E">
      <w:pPr>
        <w:spacing w:line="252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14:paraId="2DDFD4D6" w14:textId="1992B697" w:rsidR="001410C8" w:rsidRPr="000418DF" w:rsidRDefault="00E902A7" w:rsidP="0009181E">
      <w:pPr>
        <w:spacing w:line="252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000000"/>
          <w:sz w:val="21"/>
          <w:szCs w:val="21"/>
        </w:rPr>
        <w:t xml:space="preserve">The Public Service Academy is sponsored by the University of Arkansas </w:t>
      </w:r>
      <w:r w:rsidR="00FD4F04" w:rsidRPr="000418DF">
        <w:rPr>
          <w:rFonts w:asciiTheme="minorHAnsi" w:hAnsiTheme="minorHAnsi" w:cstheme="minorHAnsi"/>
          <w:color w:val="000000"/>
          <w:sz w:val="21"/>
          <w:szCs w:val="21"/>
        </w:rPr>
        <w:t xml:space="preserve">School of </w:t>
      </w:r>
      <w:r w:rsidRPr="000418DF">
        <w:rPr>
          <w:rFonts w:asciiTheme="minorHAnsi" w:hAnsiTheme="minorHAnsi" w:cstheme="minorHAnsi"/>
          <w:color w:val="000000"/>
          <w:sz w:val="21"/>
          <w:szCs w:val="21"/>
        </w:rPr>
        <w:t xml:space="preserve">Law, University of Arkansas at Little Rock William H. Bowen School of Law, Rose Law Firm, </w:t>
      </w:r>
      <w:r w:rsidR="006C5C2D">
        <w:rPr>
          <w:rFonts w:asciiTheme="minorHAnsi" w:hAnsiTheme="minorHAnsi" w:cstheme="minorHAnsi"/>
          <w:color w:val="000000"/>
          <w:sz w:val="21"/>
          <w:szCs w:val="21"/>
        </w:rPr>
        <w:t xml:space="preserve">and </w:t>
      </w:r>
      <w:r w:rsidRPr="000418DF">
        <w:rPr>
          <w:rFonts w:asciiTheme="minorHAnsi" w:hAnsiTheme="minorHAnsi" w:cstheme="minorHAnsi"/>
          <w:color w:val="000000"/>
          <w:sz w:val="21"/>
          <w:szCs w:val="21"/>
        </w:rPr>
        <w:t>Brian Rosenthal</w:t>
      </w:r>
      <w:r w:rsidR="00C27055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EF4EA55" w14:textId="77777777" w:rsidR="001410C8" w:rsidRPr="000418DF" w:rsidRDefault="001410C8" w:rsidP="0009181E">
      <w:pPr>
        <w:spacing w:line="252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14:paraId="55454ED0" w14:textId="25747681" w:rsidR="00F71E00" w:rsidRPr="000418DF" w:rsidRDefault="00F71E00" w:rsidP="00F71E00">
      <w:pPr>
        <w:tabs>
          <w:tab w:val="left" w:pos="3527"/>
        </w:tabs>
        <w:rPr>
          <w:rFonts w:asciiTheme="minorHAnsi" w:hAnsiTheme="minorHAnsi" w:cstheme="minorHAnsi"/>
          <w:sz w:val="21"/>
          <w:szCs w:val="21"/>
        </w:rPr>
      </w:pPr>
      <w:r w:rsidRPr="000418DF">
        <w:rPr>
          <w:rFonts w:asciiTheme="minorHAnsi" w:hAnsiTheme="minorHAnsi" w:cstheme="minorHAnsi"/>
          <w:sz w:val="21"/>
          <w:szCs w:val="21"/>
        </w:rPr>
        <w:t>Founded in 1898, the Arkansas Bar Association is the premier legal association in the state. As a voluntary organization of more than 5,</w:t>
      </w:r>
      <w:r w:rsidR="000418DF" w:rsidRPr="000418DF">
        <w:rPr>
          <w:rFonts w:asciiTheme="minorHAnsi" w:hAnsiTheme="minorHAnsi" w:cstheme="minorHAnsi"/>
          <w:sz w:val="21"/>
          <w:szCs w:val="21"/>
        </w:rPr>
        <w:t>0</w:t>
      </w:r>
      <w:r w:rsidRPr="000418DF">
        <w:rPr>
          <w:rFonts w:asciiTheme="minorHAnsi" w:hAnsiTheme="minorHAnsi" w:cstheme="minorHAnsi"/>
          <w:sz w:val="21"/>
          <w:szCs w:val="21"/>
        </w:rPr>
        <w:t>00 members, the Association’s primary mission is to support attorneys; advance the practice of law; advocate for the legal profession; foster professionalism, civility, and integrity; and protect the rule of law.</w:t>
      </w:r>
    </w:p>
    <w:p w14:paraId="5AEFB584" w14:textId="77777777" w:rsidR="001410C8" w:rsidRPr="000418DF" w:rsidRDefault="00E902A7" w:rsidP="0009181E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000000"/>
          <w:sz w:val="21"/>
          <w:szCs w:val="21"/>
        </w:rPr>
        <w:t>###</w:t>
      </w:r>
    </w:p>
    <w:p w14:paraId="39136351" w14:textId="77777777" w:rsidR="001410C8" w:rsidRPr="000418DF" w:rsidRDefault="00E902A7" w:rsidP="0009181E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37D5F683" w14:textId="77777777" w:rsidR="001410C8" w:rsidRPr="000418DF" w:rsidRDefault="00E902A7" w:rsidP="0009181E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0418DF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265EE27F" w14:textId="77777777" w:rsidR="004C6DF8" w:rsidRPr="000418DF" w:rsidRDefault="004C6DF8" w:rsidP="004C6DF8">
      <w:pPr>
        <w:rPr>
          <w:rFonts w:asciiTheme="minorHAnsi" w:hAnsiTheme="minorHAnsi" w:cstheme="minorHAnsi"/>
        </w:rPr>
      </w:pPr>
    </w:p>
    <w:p w14:paraId="2123F2FD" w14:textId="77777777" w:rsidR="001410C8" w:rsidRPr="000418DF" w:rsidRDefault="001410C8">
      <w:pPr>
        <w:rPr>
          <w:rFonts w:asciiTheme="minorHAnsi" w:hAnsiTheme="minorHAnsi" w:cstheme="minorHAnsi"/>
          <w:sz w:val="20"/>
          <w:szCs w:val="20"/>
        </w:rPr>
      </w:pPr>
    </w:p>
    <w:sectPr w:rsidR="001410C8" w:rsidRPr="000418DF" w:rsidSect="0052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671"/>
    <w:multiLevelType w:val="hybridMultilevel"/>
    <w:tmpl w:val="7136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0072"/>
    <w:multiLevelType w:val="multilevel"/>
    <w:tmpl w:val="8CE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420772">
    <w:abstractNumId w:val="0"/>
  </w:num>
  <w:num w:numId="2" w16cid:durableId="53867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94"/>
    <w:rsid w:val="000418DF"/>
    <w:rsid w:val="001410C8"/>
    <w:rsid w:val="001D5630"/>
    <w:rsid w:val="002559E4"/>
    <w:rsid w:val="002A30B1"/>
    <w:rsid w:val="002B0080"/>
    <w:rsid w:val="00345901"/>
    <w:rsid w:val="00451F95"/>
    <w:rsid w:val="00454DFA"/>
    <w:rsid w:val="004B7FC7"/>
    <w:rsid w:val="004C6DF8"/>
    <w:rsid w:val="005233BF"/>
    <w:rsid w:val="00631894"/>
    <w:rsid w:val="006861CC"/>
    <w:rsid w:val="006C5C2D"/>
    <w:rsid w:val="006D4469"/>
    <w:rsid w:val="00714D27"/>
    <w:rsid w:val="00794821"/>
    <w:rsid w:val="007B7BE4"/>
    <w:rsid w:val="00833767"/>
    <w:rsid w:val="00842792"/>
    <w:rsid w:val="009264E7"/>
    <w:rsid w:val="0097292E"/>
    <w:rsid w:val="00986C6D"/>
    <w:rsid w:val="009E40CD"/>
    <w:rsid w:val="00A6469A"/>
    <w:rsid w:val="00A67F8F"/>
    <w:rsid w:val="00A772A0"/>
    <w:rsid w:val="00AF613E"/>
    <w:rsid w:val="00B30747"/>
    <w:rsid w:val="00BD6E6C"/>
    <w:rsid w:val="00BF4227"/>
    <w:rsid w:val="00C27055"/>
    <w:rsid w:val="00D24DB8"/>
    <w:rsid w:val="00D43533"/>
    <w:rsid w:val="00DB0F7B"/>
    <w:rsid w:val="00DB3171"/>
    <w:rsid w:val="00E61698"/>
    <w:rsid w:val="00E902A7"/>
    <w:rsid w:val="00E913EE"/>
    <w:rsid w:val="00F34B29"/>
    <w:rsid w:val="00F71E00"/>
    <w:rsid w:val="00FC236A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0168"/>
  <w15:docId w15:val="{E31F523C-E515-C74D-AAF2-ABB019E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0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9181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181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181E"/>
  </w:style>
  <w:style w:type="character" w:styleId="Hyperlink">
    <w:name w:val="Hyperlink"/>
    <w:basedOn w:val="DefaultParagraphFont"/>
    <w:uiPriority w:val="99"/>
    <w:unhideWhenUsed/>
    <w:rsid w:val="000918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2A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02A7"/>
    <w:rPr>
      <w:b/>
      <w:bCs/>
    </w:rPr>
  </w:style>
  <w:style w:type="paragraph" w:styleId="Revision">
    <w:name w:val="Revision"/>
    <w:hidden/>
    <w:uiPriority w:val="99"/>
    <w:semiHidden/>
    <w:rsid w:val="006C5C2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6E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4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kbar.com/cle--events/public-service-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3499</Characters>
  <Application>Microsoft Office Word</Application>
  <DocSecurity>0</DocSecurity>
  <Lines>50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Robbins</dc:creator>
  <cp:lastModifiedBy>Anna Hubbard</cp:lastModifiedBy>
  <cp:revision>5</cp:revision>
  <cp:lastPrinted>2021-11-08T20:30:00Z</cp:lastPrinted>
  <dcterms:created xsi:type="dcterms:W3CDTF">2024-01-09T15:30:00Z</dcterms:created>
  <dcterms:modified xsi:type="dcterms:W3CDTF">2024-01-09T21:29:00Z</dcterms:modified>
</cp:coreProperties>
</file>